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7CB609DC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9364C7">
        <w:t>3656 K </w:t>
      </w:r>
      <w:r w:rsidR="009F426B" w:rsidRPr="00F81FB7">
        <w:t>operátor</w:t>
      </w:r>
      <w:r w:rsidR="009364C7">
        <w:t xml:space="preserve"> stavebnej výroby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DE1F8BD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9F7649">
        <w:t>22</w:t>
      </w:r>
      <w:r w:rsidR="00E85780">
        <w:t xml:space="preserve">. augusta </w:t>
      </w:r>
      <w:r w:rsidR="00643378" w:rsidRPr="000F194B">
        <w:t>202</w:t>
      </w:r>
      <w:r w:rsidR="00E85780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208AA2BE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9F7649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047B3B20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9F7649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6D674274" w:rsidR="00643378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p w14:paraId="2D6D4198" w14:textId="77777777" w:rsidR="00DE55DC" w:rsidRPr="00F81FB7" w:rsidRDefault="00DE55DC" w:rsidP="00DE55DC">
      <w:pPr>
        <w:pStyle w:val="RZTelo"/>
        <w:ind w:left="360"/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D5A81" w:rsidRPr="00536CAE" w14:paraId="1A5C667D" w14:textId="77777777" w:rsidTr="00A03139">
        <w:trPr>
          <w:trHeight w:val="51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0EB9FBF" w14:textId="77777777" w:rsidR="008D5A81" w:rsidRPr="00A03139" w:rsidRDefault="008D5A81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A03139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8D5A81" w:rsidRPr="00536CAE" w14:paraId="2520D29F" w14:textId="77777777" w:rsidTr="004930BF">
        <w:trPr>
          <w:trHeight w:val="39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D485E0" w14:textId="77777777" w:rsidR="008D5A81" w:rsidRPr="00536CAE" w:rsidRDefault="008D5A81" w:rsidP="00A0313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536CAE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8D5A81" w14:paraId="73C39C5D" w14:textId="77777777" w:rsidTr="00A03139">
        <w:trPr>
          <w:trHeight w:val="2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D4FB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8D5A81" w14:paraId="2403A402" w14:textId="77777777" w:rsidTr="00A03139">
        <w:trPr>
          <w:trHeight w:val="27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8D4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 o organizačnej štruktúre, úlohách a kompetenciách jednotlivých podnikových sekcií, útvarov a oddelení.</w:t>
            </w:r>
          </w:p>
        </w:tc>
      </w:tr>
      <w:tr w:rsidR="008D5A81" w14:paraId="3107F1B1" w14:textId="77777777" w:rsidTr="00A03139">
        <w:trPr>
          <w:trHeight w:val="60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9CD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8D5A81" w14:paraId="79AFC7EE" w14:textId="77777777" w:rsidTr="00A03139">
        <w:trPr>
          <w:trHeight w:val="60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DF2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Znalosti o plánovaní práce a príprave práce. Realizácia plánovania práce: stanovenie pracovných krokov, pracovných prostriedkov a pracovných postupov.</w:t>
            </w:r>
          </w:p>
        </w:tc>
      </w:tr>
      <w:tr w:rsidR="008D5A81" w14:paraId="7F6E6788" w14:textId="77777777" w:rsidTr="00A03139">
        <w:trPr>
          <w:trHeight w:val="32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F895" w14:textId="77777777" w:rsidR="008D5A81" w:rsidRPr="00536CAE" w:rsidRDefault="008D5A81" w:rsidP="00536CA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 prevádzkových rizík, ich zníženia a prevencie.</w:t>
            </w:r>
          </w:p>
        </w:tc>
      </w:tr>
      <w:tr w:rsidR="008D5A81" w14:paraId="5452E3C2" w14:textId="77777777" w:rsidTr="00A03139">
        <w:trPr>
          <w:trHeight w:val="27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D2D4" w14:textId="77777777" w:rsidR="008D5A81" w:rsidRPr="00536CAE" w:rsidRDefault="008D5A81" w:rsidP="00536CA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8D5A81" w14:paraId="7887EF41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7407" w14:textId="77777777" w:rsidR="008D5A81" w:rsidRPr="00536CAE" w:rsidRDefault="008D5A81" w:rsidP="00536CAE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Funkčné uplatňovanie, údržbu a starostlivosť o prevádzkové  prostriedky a pomôcky (stroje, prístroje a zariadenia).</w:t>
            </w:r>
          </w:p>
        </w:tc>
      </w:tr>
      <w:tr w:rsidR="008D5A81" w14:paraId="21DB5167" w14:textId="77777777" w:rsidTr="00A03139">
        <w:trPr>
          <w:trHeight w:val="2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921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>Postupy plánovania  a prípravy prác na pracovisku praktického vyučovania, technologické a ergonomické usporiadanie pracoviska.</w:t>
            </w:r>
          </w:p>
        </w:tc>
      </w:tr>
      <w:tr w:rsidR="008D5A81" w14:paraId="1161AB22" w14:textId="77777777" w:rsidTr="00A03139">
        <w:trPr>
          <w:trHeight w:val="2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961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>Vedenie sprievodnej a prevádzkovej dokumentácie.</w:t>
            </w:r>
          </w:p>
        </w:tc>
      </w:tr>
      <w:tr w:rsidR="008D5A81" w14:paraId="6B20D3C5" w14:textId="77777777" w:rsidTr="00A03139">
        <w:trPr>
          <w:trHeight w:val="2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EDA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8D5A81" w14:paraId="0E5D5986" w14:textId="77777777" w:rsidTr="00A03139">
        <w:trPr>
          <w:trHeight w:val="2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292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 xml:space="preserve">Znalosti o opatreniach na ochranu </w:t>
            </w:r>
            <w:r w:rsidRPr="00536CA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životného prostredia, separovanie, zhodnocovanie a likvidácia odpadu v odbore.</w:t>
            </w:r>
          </w:p>
        </w:tc>
      </w:tr>
      <w:tr w:rsidR="008D5A81" w14:paraId="6E8B639A" w14:textId="77777777" w:rsidTr="00A03139">
        <w:trPr>
          <w:trHeight w:val="2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29AB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8D5A81" w14:paraId="62F55F3E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0D0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8D5A81" w14:paraId="7808D847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B30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učebnej zmluvy.</w:t>
            </w:r>
          </w:p>
        </w:tc>
      </w:tr>
      <w:tr w:rsidR="008D5A81" w14:paraId="64BDC7DD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24FE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8D5A81" w14:paraId="7D1C01CD" w14:textId="77777777" w:rsidTr="004930BF">
        <w:trPr>
          <w:trHeight w:val="41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A94DD6" w14:textId="77777777" w:rsidR="008D5A81" w:rsidRPr="00536CAE" w:rsidRDefault="008D5A81" w:rsidP="00A0313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536CAE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8D5A81" w14:paraId="1BED5839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075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8D5A81" w14:paraId="6B39F940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4996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8D5A81" w14:paraId="0C4E06FC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EC8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8D5A81" w14:paraId="37590D61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A26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8D5A81" w14:paraId="69C62D9E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126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8D5A81" w14:paraId="5716DDB4" w14:textId="77777777" w:rsidTr="004930BF">
        <w:trPr>
          <w:trHeight w:val="42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D100C1" w14:textId="77777777" w:rsidR="008D5A81" w:rsidRPr="00A03139" w:rsidRDefault="008D5A81" w:rsidP="00A0313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</w:rPr>
            </w:pPr>
            <w:r w:rsidRPr="00A03139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8D5A81" w:rsidRPr="00536CAE" w14:paraId="09183CCC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2A5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8D5A81" w:rsidRPr="00536CAE" w14:paraId="313BC6E0" w14:textId="77777777" w:rsidTr="00A03139">
        <w:trPr>
          <w:trHeight w:val="42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09A6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8D5A81" w:rsidRPr="00536CAE" w14:paraId="5E58A50A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413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8D5A81" w:rsidRPr="00536CAE" w14:paraId="31B0AD39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4F5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8D5A81" w:rsidRPr="00536CAE" w14:paraId="25389525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3DC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8D5A81" w:rsidRPr="00536CAE" w14:paraId="5446BFF1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797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536CAE">
              <w:rPr>
                <w:rFonts w:ascii="Roboto Light" w:eastAsia="Times New Roman" w:hAnsi="Roboto Light" w:cs="Calibri"/>
                <w:color w:val="000000"/>
                <w:sz w:val="18"/>
                <w:szCs w:val="18"/>
              </w:rPr>
              <w:t xml:space="preserve"> </w:t>
            </w:r>
            <w:r w:rsidRPr="00536CAE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8D5A81" w:rsidRPr="00536CAE" w14:paraId="2A2C8856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681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8D5A81" w:rsidRPr="00536CAE" w14:paraId="36FC74A9" w14:textId="77777777" w:rsidTr="00A03139">
        <w:trPr>
          <w:trHeight w:val="27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0B6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614"/>
        <w:gridCol w:w="4406"/>
        <w:gridCol w:w="4194"/>
      </w:tblGrid>
      <w:tr w:rsidR="008D5A81" w14:paraId="0E247848" w14:textId="77777777" w:rsidTr="001D608C">
        <w:trPr>
          <w:trHeight w:val="585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3B88E776" w14:textId="77777777" w:rsidR="008D5A81" w:rsidRPr="001D608C" w:rsidRDefault="008D5A81" w:rsidP="001D608C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FFFFFF" w:themeColor="background1"/>
                <w:highlight w:val="yellow"/>
              </w:rPr>
            </w:pPr>
            <w:r w:rsidRPr="001D608C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8D5A81" w14:paraId="3417EA0D" w14:textId="77777777" w:rsidTr="004930BF">
        <w:trPr>
          <w:trHeight w:val="53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27108A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36CA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B24250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36CAE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A70281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536CAE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</w:tr>
      <w:tr w:rsidR="008D5A81" w14:paraId="1BEB47F7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7AD0B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983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Základné ustanovenia právnych noriem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t>, predpisov a zásad o BOZP, hygiena práce a protipožiarne opatrenia, úlohy IBP a štátneho odborného dozoru, pravidlá správania sa na OV, druhy ohrození, riziká a príčiny úrazov, pracovisko OV, organizácia práce a väzba na odborné predmety, význam normalizácie v technike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0AC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Ručné opracovanie kovov a plastov:</w:t>
            </w:r>
          </w:p>
          <w:p w14:paraId="0E48DA4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náradie, nástroje a pomôcky pre ručné opracovanie kovov a plastov, príprava a rozmeriavanie materiálov, základné pracovné postupy ručného opracovania kovov a plastov, spôsoby spájania kovov a plastov, súborná práca</w:t>
            </w:r>
          </w:p>
        </w:tc>
      </w:tr>
      <w:tr w:rsidR="008D5A81" w14:paraId="74337002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492F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280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Ručné opracovanie dreva:</w:t>
            </w:r>
          </w:p>
          <w:p w14:paraId="5FC6AE7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protipožiarne predpisy, triedenie reziva, označovanie reziva, náradie, nástroje a pomôckami pre ručné opracovanie dreva, príprava dreva na opracovanie – meranie, označovanie, orysovanie, upevnenie, spájanie guľatiny a reziva, základné tesárske spoje, zhotovenie kozového lešenia, 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E2A0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Ručné opracovanie sadrokartónu:</w:t>
            </w:r>
          </w:p>
          <w:p w14:paraId="5CA2FF9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náradie, nástroje a pracovné pomôcky pri ručnom opracovaní sadrokartónu, meranie a orysovanie sadrokartónu, technológia ručného opracovania sadrokartónu, súborná práca</w:t>
            </w:r>
          </w:p>
        </w:tc>
      </w:tr>
      <w:tr w:rsidR="008D5A81" w14:paraId="2FECF8CD" w14:textId="77777777" w:rsidTr="00DE55DC">
        <w:trPr>
          <w:trHeight w:val="18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CF31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7913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Cvičné murovanie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t>:</w:t>
            </w:r>
          </w:p>
          <w:p w14:paraId="471CAA24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organizácia pracoviska pri murovaní, základné murárske náradie a pracovné pomôcky, nácvik základných zručností a techniky práce pri murovaní, zakladanie muriva, izolácie, priame múry, rohy, pravouhlé pripojenie, kríženie, stavba jednoduchého lešenia pre murovanie, 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F18F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Základné maliarske a natieračské práce:</w:t>
            </w:r>
          </w:p>
          <w:p w14:paraId="78BAC38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základné pracovné náradie a pomôcky, prípravné maliarske a natieračské práce, príprava podkladov pre zhotovenie malieb, náterov, nácvik nanášania malieb a náterov, ošetrovanie prac. pomôcok a náradia, súborná práca</w:t>
            </w:r>
          </w:p>
        </w:tc>
      </w:tr>
      <w:tr w:rsidR="008D5A81" w14:paraId="37D89BAA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19EA0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24E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Základné betonárske práce:</w:t>
            </w:r>
          </w:p>
          <w:p w14:paraId="5637CEBE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výroba betónovej zmesi, betónovanie jednoduchých konštrukcií z prostého betónu bez debnenia, príprava jednotlivých dielcov pre jednoduché debnenie, príprava betonárskej výstuže, ukladanie betonárskej výstuže do debnenia, ošetrovanie betónu, zhotovenie izolácie proti vode a vlhkosti, 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2F8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Montáž potrubia:</w:t>
            </w:r>
          </w:p>
          <w:p w14:paraId="33434C73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náradie, nástroje a pracovné pomôcky pri montáži potrubia, montáž potrubia pomocou rozoberateľných spojov, montáž potrubia pomocou nerozoberateľných spojov, montáž armatúr a ich údržba, súborná práca</w:t>
            </w:r>
          </w:p>
        </w:tc>
      </w:tr>
      <w:tr w:rsidR="008D5A81" w14:paraId="00A2D36C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891F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75F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Jednoduché búracie práce:</w:t>
            </w:r>
          </w:p>
          <w:p w14:paraId="3F0E584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príprava náradia a nástrojov, dodatočné vybúranie prestupov pre inštalácie, v základoch, v zvislých konštrukciách a v stropoch, zhotovovanie drážok a výklenkov, stavebné úpravy vybúraného otvoru po osadení inštalácií, 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6394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Montáž a demontáž vnútorných inštalácii:</w:t>
            </w:r>
          </w:p>
          <w:p w14:paraId="2DC1D8B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 xml:space="preserve">BOZP, zhotovenie náterov proti korózii potrubia a tepelnej izolácie, vymeranie a kladenie kanalizačného potrubia, vymeranie 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br/>
              <w:t>a kladenie vodovodného potrubia na prívod teplej a studenej vody, zásady demontáže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br/>
              <w:t xml:space="preserve"> a následnej montáže pri výmene kanalizačného potrubia, zásady demontáže 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br/>
              <w:t>a následnej montáže pri výmene rozvodu teplej a studenej vody, súborná práca</w:t>
            </w:r>
          </w:p>
        </w:tc>
      </w:tr>
      <w:tr w:rsidR="008D5A81" w14:paraId="6EE469AA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596E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C60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Základy ručného omietania:</w:t>
            </w:r>
          </w:p>
          <w:p w14:paraId="181BE30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BOZP, organizácia práce pri ručnom omietaní, náradie, nástroje a pomôcky pre ručné omietanie, príprava malty na omietanie, príprava podkladu pre omietanie, úprava stykov dvoch rôznorodých materiálov, úprava omietok, úprava hrán, uhlov, rohov, škárovanie muriva, 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650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</w:rPr>
              <w:t>Montáž a demontáž zariaďovacích predmetov:</w:t>
            </w:r>
          </w:p>
          <w:p w14:paraId="61ED7D1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 xml:space="preserve">BOZP, náradie, nástroje a pomôcky potrebné na montáž a demontáž, postup pri montáži 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br/>
              <w:t>a demontáži zariaďovacích predmetov, vymeranie a osadenie upevňovacích a pridržiavacích častí, montáž a pripojenie zariaďovacích predmetov, odzátkovanie vývodov, vyskúšanie a uzavretie prívodu vody, odpojenie prívodu vody od zariaďovacích predmetov, zazátkovanie prívodov, skúšky tesnosti, súborná práca</w:t>
            </w:r>
          </w:p>
        </w:tc>
      </w:tr>
      <w:tr w:rsidR="008D5A81" w14:paraId="6AC5AF7B" w14:textId="77777777" w:rsidTr="004930BF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B69EA9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Barlow" w:hAnsi="Barlow" w:cstheme="minorHAnsi"/>
                <w:b/>
                <w:color w:val="000000"/>
              </w:rPr>
            </w:pPr>
            <w:r w:rsidRPr="00536CA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F195A2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536CAE">
              <w:rPr>
                <w:rFonts w:ascii="Barlow" w:hAnsi="Barlow" w:cstheme="minorHAnsi"/>
                <w:b/>
              </w:rPr>
              <w:t>3. ročník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063254" w14:textId="77777777" w:rsidR="008D5A81" w:rsidRPr="00536CAE" w:rsidRDefault="008D5A81" w:rsidP="001D608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536CAE">
              <w:rPr>
                <w:rFonts w:ascii="Barlow" w:hAnsi="Barlow" w:cstheme="minorHAnsi"/>
                <w:b/>
              </w:rPr>
              <w:t>4. ročník</w:t>
            </w:r>
          </w:p>
        </w:tc>
      </w:tr>
      <w:tr w:rsidR="008D5A81" w14:paraId="0994F25B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A0243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927D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Zemné práce a zakladanie stavieb:</w:t>
            </w:r>
          </w:p>
          <w:p w14:paraId="6BB1B08E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BOZ pri zemných prácach a pri zhotovovaní základových konštrukcií, </w:t>
            </w:r>
          </w:p>
          <w:p w14:paraId="1ACF2E33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 xml:space="preserve">Vytyčovanie zemných prác, </w:t>
            </w:r>
          </w:p>
          <w:p w14:paraId="192C22B0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Stroje a mechanizmy na zemné práce, </w:t>
            </w:r>
          </w:p>
          <w:p w14:paraId="4D3B6A57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Hĺbenie výkopov, premiestňovanie zemín, Vytvorenie skládky zeminy depónie, zabezpečenie  skládky,  </w:t>
            </w:r>
          </w:p>
          <w:p w14:paraId="7B6B727B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Zabezpečovanie zemných telies,  </w:t>
            </w:r>
          </w:p>
          <w:p w14:paraId="6413C195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Príprava podkladov pod  základové konštrukcie, </w:t>
            </w:r>
          </w:p>
          <w:p w14:paraId="64F6565B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lastRenderedPageBreak/>
              <w:t xml:space="preserve">Technológia vyhotovenia  základových  konštrukcií,  </w:t>
            </w:r>
          </w:p>
          <w:p w14:paraId="595BCA1B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Technológia vyhotovenia  základových konštrukcií, </w:t>
            </w:r>
          </w:p>
          <w:p w14:paraId="316560F9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Vynechávanie otvorov, prestupov v základoch, Izolácia proti vode a zemnej  vlhkosti,</w:t>
            </w:r>
          </w:p>
          <w:p w14:paraId="19461144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 xml:space="preserve">Súborná práca 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2B4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Vyhotovenie pomocného pracovného lešenia: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78"/>
            </w:tblGrid>
            <w:tr w:rsidR="008D5A81" w:rsidRPr="00536CAE" w14:paraId="4BF3F1F1" w14:textId="77777777">
              <w:trPr>
                <w:trHeight w:val="227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B53661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  <w:r w:rsidRPr="00536CAE"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  <w:t xml:space="preserve">Bezpečnostné predpisy pri práci na lešení </w:t>
                  </w:r>
                </w:p>
              </w:tc>
            </w:tr>
            <w:tr w:rsidR="008D5A81" w:rsidRPr="00536CAE" w14:paraId="2C0D9809" w14:textId="77777777">
              <w:trPr>
                <w:trHeight w:val="479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95880F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  <w:r w:rsidRPr="00536CAE"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  <w:t xml:space="preserve">Vyhotovenie – montáž a demontáž lešenia –cvičná stavba </w:t>
                  </w:r>
                </w:p>
                <w:p w14:paraId="4B919BAA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  <w:r w:rsidRPr="00536CAE"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  <w:t xml:space="preserve">Stĺpcového, rebrinového, rúrkového a pojazdného </w:t>
                  </w:r>
                </w:p>
              </w:tc>
            </w:tr>
            <w:tr w:rsidR="008D5A81" w:rsidRPr="00536CAE" w14:paraId="0DF2D96C" w14:textId="77777777">
              <w:trPr>
                <w:trHeight w:val="227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08E4B7E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  <w:r w:rsidRPr="00536CAE"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  <w:t xml:space="preserve">Vyhotovenie ochranných striešok, podchodov a montáž sietí </w:t>
                  </w:r>
                </w:p>
              </w:tc>
            </w:tr>
            <w:tr w:rsidR="008D5A81" w:rsidRPr="00536CAE" w14:paraId="64EAFD94" w14:textId="77777777">
              <w:trPr>
                <w:trHeight w:val="227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88BC400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  <w:r w:rsidRPr="00536CAE"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  <w:lastRenderedPageBreak/>
                    <w:t xml:space="preserve">Montáž stavebných výťahov a kladiek s ohľadom na BOZP </w:t>
                  </w:r>
                </w:p>
              </w:tc>
            </w:tr>
            <w:tr w:rsidR="008D5A81" w:rsidRPr="00536CAE" w14:paraId="22197CCD" w14:textId="77777777">
              <w:trPr>
                <w:trHeight w:val="227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EFED8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</w:p>
                <w:p w14:paraId="28536369" w14:textId="77777777" w:rsidR="008D5A81" w:rsidRPr="00536CAE" w:rsidRDefault="008D5A81" w:rsidP="00536CA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Roboto Light" w:hAnsi="Roboto Light" w:cstheme="minorHAns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6D58D2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8D5A81" w14:paraId="65926D04" w14:textId="77777777" w:rsidTr="004930BF">
        <w:trPr>
          <w:trHeight w:val="363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230BA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14B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Debnenie betónových a železobetónových konštrukcií:</w:t>
            </w:r>
          </w:p>
          <w:p w14:paraId="6B8C1682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BOZ pri vyhotovení a montáži  debnenia s dôrazom na používanie pracovných prostriedkov</w:t>
            </w:r>
          </w:p>
          <w:p w14:paraId="78486B7D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Príprava a zhotovenie debnenia  z dielcov a preglejky</w:t>
            </w:r>
          </w:p>
          <w:p w14:paraId="0D509AC4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Montáž a zostavenie maloplošného debnenia</w:t>
            </w:r>
          </w:p>
          <w:p w14:paraId="684E0A85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Montáž a zostavenie veľkoplošného debnenia</w:t>
            </w:r>
          </w:p>
          <w:p w14:paraId="14F68ECC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Montáž a zostavenie špeciálneho debnenia</w:t>
            </w:r>
          </w:p>
          <w:p w14:paraId="51D0F2F6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Úprava formy debnenia separačnými prípravkami</w:t>
            </w:r>
          </w:p>
          <w:p w14:paraId="5805B2D0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pri uvoľňovaní debnenia a oddebňovanie</w:t>
            </w:r>
          </w:p>
          <w:p w14:paraId="6DA9C18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Cs/>
                <w:sz w:val="18"/>
                <w:szCs w:val="18"/>
              </w:rPr>
              <w:t>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74C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Fasádne omietky:</w:t>
            </w:r>
          </w:p>
          <w:p w14:paraId="55F7694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BOZ pri omietaní fasád</w:t>
            </w:r>
          </w:p>
          <w:p w14:paraId="0F8EF1AF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Príprava podkladu, náradia, mechanizmov a malty na omietanie</w:t>
            </w:r>
          </w:p>
          <w:p w14:paraId="79DA8A1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Technologický postup a organizácia práce pri vyhotovení fasádnych omietok</w:t>
            </w:r>
          </w:p>
          <w:p w14:paraId="4FF03AB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Vyhotovenie vápenných, vápenno – cementových omietok</w:t>
            </w:r>
          </w:p>
          <w:p w14:paraId="4E097EAF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Vyhotovenie zušľachtených omietok, umelého kameňa, špeciálnych a farebných omietok</w:t>
            </w:r>
          </w:p>
          <w:p w14:paraId="5D4DD13F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Vyhotovenie tenko vrstvových omietok zo suchých omietkových zmesí alebo zo syntetickej omietkoviny</w:t>
            </w:r>
          </w:p>
          <w:p w14:paraId="0D61374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</w:tc>
      </w:tr>
      <w:tr w:rsidR="008D5A81" w14:paraId="6DC047A8" w14:textId="77777777" w:rsidTr="004930BF">
        <w:trPr>
          <w:trHeight w:val="198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D2492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C105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 w:cstheme="minorBidi"/>
                <w:b/>
                <w:bCs/>
                <w:sz w:val="18"/>
                <w:szCs w:val="18"/>
              </w:rPr>
            </w:pPr>
            <w:r w:rsidRPr="00536CAE">
              <w:rPr>
                <w:rFonts w:ascii="Roboto Light" w:hAnsi="Roboto Light"/>
                <w:b/>
                <w:bCs/>
                <w:sz w:val="18"/>
                <w:szCs w:val="18"/>
              </w:rPr>
              <w:t>Priečky:</w:t>
            </w:r>
          </w:p>
          <w:p w14:paraId="46999756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  <w:r w:rsidRPr="00536CAE">
              <w:rPr>
                <w:rFonts w:ascii="Roboto Light" w:hAnsi="Roboto Light"/>
                <w:bCs/>
                <w:sz w:val="18"/>
                <w:szCs w:val="18"/>
              </w:rPr>
              <w:t>BOZ pri vyhotovovaní priečok</w:t>
            </w:r>
          </w:p>
          <w:p w14:paraId="0D4F92C4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  <w:r w:rsidRPr="00536CAE">
              <w:rPr>
                <w:rFonts w:ascii="Roboto Light" w:hAnsi="Roboto Light"/>
                <w:bCs/>
                <w:sz w:val="18"/>
                <w:szCs w:val="18"/>
              </w:rPr>
              <w:t>Vyhotovenie murovanej priečky</w:t>
            </w:r>
          </w:p>
          <w:p w14:paraId="40BE187C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  <w:r w:rsidRPr="00536CAE">
              <w:rPr>
                <w:rFonts w:ascii="Roboto Light" w:hAnsi="Roboto Light"/>
                <w:bCs/>
                <w:sz w:val="18"/>
                <w:szCs w:val="18"/>
              </w:rPr>
              <w:t>Vyhotovenie priečky z ľahkých dosák – siporex, heraklit</w:t>
            </w:r>
          </w:p>
          <w:p w14:paraId="57BE1820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/>
                <w:sz w:val="18"/>
                <w:szCs w:val="18"/>
                <w:lang w:eastAsia="sk-SK"/>
              </w:rPr>
              <w:t>Vyhotovenie sklobetónovej priečky</w:t>
            </w:r>
          </w:p>
          <w:p w14:paraId="32B05D9D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/>
                <w:sz w:val="18"/>
                <w:szCs w:val="18"/>
                <w:lang w:eastAsia="sk-SK"/>
              </w:rPr>
              <w:t>Vyhotovenie sadrokartónovej priečky</w:t>
            </w:r>
          </w:p>
          <w:p w14:paraId="42A49E17" w14:textId="273EA9B7" w:rsidR="008D5A81" w:rsidRPr="004930BF" w:rsidRDefault="008D5A81" w:rsidP="004930BF">
            <w:pPr>
              <w:pStyle w:val="Bezriadkovania"/>
              <w:spacing w:line="276" w:lineRule="auto"/>
              <w:rPr>
                <w:rFonts w:ascii="Roboto Light" w:hAnsi="Roboto Light"/>
                <w:bCs/>
                <w:sz w:val="18"/>
                <w:szCs w:val="18"/>
              </w:rPr>
            </w:pPr>
            <w:r w:rsidRPr="00536CAE">
              <w:rPr>
                <w:rFonts w:ascii="Roboto Light" w:hAnsi="Roboto Light"/>
                <w:bCs/>
                <w:sz w:val="18"/>
                <w:szCs w:val="18"/>
              </w:rPr>
              <w:t>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A75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t>Technologické postupy pri murovaní:</w:t>
            </w:r>
          </w:p>
          <w:p w14:paraId="178D2C9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BOZ pri murovaní</w:t>
            </w:r>
          </w:p>
          <w:p w14:paraId="1DF465F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Pórobetónové systémy</w:t>
            </w:r>
          </w:p>
          <w:p w14:paraId="43F9592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Tehlové systémy</w:t>
            </w:r>
          </w:p>
          <w:p w14:paraId="4FDEEB03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Efektívnosť nových systémov</w:t>
            </w:r>
          </w:p>
          <w:p w14:paraId="35EABFD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</w:rPr>
              <w:t>Súborná práca</w:t>
            </w:r>
          </w:p>
          <w:p w14:paraId="09CF38BC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8D5A81" w14:paraId="139E62FC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9DD30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364E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  <w:t>4. Komíny v obytných budovách</w:t>
            </w:r>
          </w:p>
          <w:p w14:paraId="21EB2D33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BOZ pri murovaní a montáži komínov</w:t>
            </w:r>
          </w:p>
          <w:p w14:paraId="5631AF5B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Predpisy o komínoch podľa platných noriem</w:t>
            </w:r>
          </w:p>
          <w:p w14:paraId="4B2107E1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Podmienky dobrého ťahu komínov</w:t>
            </w:r>
          </w:p>
          <w:p w14:paraId="4D382A10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pri murovaní komínového muriva – náradie, nástroje a pomôcky</w:t>
            </w:r>
          </w:p>
          <w:p w14:paraId="7EB29428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pri murovaní komínového muriva – príprava materiálu pre murovanie komínov</w:t>
            </w:r>
          </w:p>
          <w:p w14:paraId="23EAB566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pri murovaní komínového muriva – založenie komína a úprava komínovej hlavy</w:t>
            </w:r>
          </w:p>
          <w:p w14:paraId="7E3DCF0F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Murovanie a montáž komínov</w:t>
            </w:r>
          </w:p>
          <w:p w14:paraId="243D7DD1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Kontrola presnosti murovania komínov</w:t>
            </w:r>
          </w:p>
          <w:p w14:paraId="66108F1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Súborná práca </w:t>
            </w:r>
            <w:r w:rsidRPr="00536CAE">
              <w:rPr>
                <w:rFonts w:ascii="Roboto Light" w:hAnsi="Roboto Light" w:cstheme="minorHAnsi"/>
                <w:sz w:val="18"/>
                <w:szCs w:val="18"/>
              </w:rPr>
              <w:t>podľa požiadaviek zamestnávateľa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7EB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t>Vyhotovenie obkladov a dlažieb, podlahy:</w:t>
            </w:r>
          </w:p>
          <w:p w14:paraId="4C029F13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BOZP</w:t>
            </w:r>
          </w:p>
          <w:p w14:paraId="1B9D740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Úprava stien a príprava podkladu</w:t>
            </w:r>
          </w:p>
          <w:p w14:paraId="0278AEA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Vyhotovenie obkladov </w:t>
            </w:r>
          </w:p>
          <w:p w14:paraId="6AD1C19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Vyhotovenie dlažieb</w:t>
            </w:r>
          </w:p>
          <w:p w14:paraId="0BFBC3A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Vyhotovenie podláh</w:t>
            </w:r>
          </w:p>
          <w:p w14:paraId="548D9E5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Úprava a zhotovenie podkladových vrstiev - nivelácia</w:t>
            </w:r>
          </w:p>
          <w:p w14:paraId="57FFF35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Vyhotovenie drevených podláh</w:t>
            </w:r>
          </w:p>
          <w:p w14:paraId="1127A0AF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Vyhotovenie liatych podláh</w:t>
            </w:r>
          </w:p>
          <w:p w14:paraId="7611600A" w14:textId="2A01A507" w:rsidR="008D5A81" w:rsidRPr="004930BF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Vyhotovenie povlakových podláh</w:t>
            </w:r>
          </w:p>
        </w:tc>
      </w:tr>
      <w:tr w:rsidR="008D5A81" w14:paraId="264726FF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8210F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092C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Vyhotovenie stropov a klenieb:</w:t>
            </w:r>
          </w:p>
          <w:p w14:paraId="7151DD2F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BOZP pri zhotovovaní stropných konštrukcií a klenieb</w:t>
            </w:r>
          </w:p>
          <w:p w14:paraId="6C9F4C2F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Vyhotovenie jednotlivých druhov stropov – nosníkových, drevených, oceľových, keramických monolitických doskových, trámových </w:t>
            </w:r>
          </w:p>
          <w:p w14:paraId="363A8782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lastRenderedPageBreak/>
              <w:t xml:space="preserve">Dokončovacie práce na stropoch – podhľad, tepelná izolácia </w:t>
            </w:r>
          </w:p>
          <w:p w14:paraId="7E6D575F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Základné pravidlá pre klenutie</w:t>
            </w:r>
          </w:p>
          <w:p w14:paraId="43BDCCD9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Zhotovenie a osadenie podskruženia klenieb a klenbových pásov </w:t>
            </w:r>
          </w:p>
          <w:p w14:paraId="63688C0D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Murovanie klenbového pásu, klenutie nadpražia</w:t>
            </w:r>
          </w:p>
          <w:p w14:paraId="3CD1CC27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Zhotovenie pätiek klenieb a klenbových pásov</w:t>
            </w:r>
          </w:p>
          <w:p w14:paraId="5791D08E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Postup kladenia klenákov, zalievanie škár</w:t>
            </w:r>
          </w:p>
          <w:p w14:paraId="0FFAB001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Spôsoby murovania rôznych druhov klenieb</w:t>
            </w:r>
          </w:p>
          <w:p w14:paraId="1F3ED6BB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888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lastRenderedPageBreak/>
              <w:t>Adaptácie, rekonštrukcie a údržba objektov:</w:t>
            </w:r>
          </w:p>
          <w:p w14:paraId="1ADCE6E1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BOZP</w:t>
            </w:r>
          </w:p>
          <w:p w14:paraId="279207A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Podchytenie a rozšírenie základov</w:t>
            </w:r>
          </w:p>
          <w:p w14:paraId="283D4BB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Dodatočné zhotovenie izolácii proti vode a zemnej vlhkosti</w:t>
            </w:r>
          </w:p>
          <w:p w14:paraId="528DA8F4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Búranie a rozširovanie otvorov</w:t>
            </w:r>
          </w:p>
          <w:p w14:paraId="1F9788D0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Opravy stropných konštrukcii</w:t>
            </w:r>
          </w:p>
          <w:p w14:paraId="136843D2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Súborná práca</w:t>
            </w:r>
          </w:p>
          <w:p w14:paraId="21FE81DE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</w:p>
          <w:p w14:paraId="3BC8EC6D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</w:p>
          <w:p w14:paraId="2622F614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8D5A81" w14:paraId="46EDA5CD" w14:textId="77777777" w:rsidTr="001D608C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FD44A" w14:textId="77777777" w:rsidR="008D5A81" w:rsidRPr="00C53121" w:rsidRDefault="008D5A81" w:rsidP="00C53121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C53121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D194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b/>
                <w:sz w:val="18"/>
                <w:szCs w:val="18"/>
                <w:lang w:eastAsia="sk-SK"/>
              </w:rPr>
              <w:t>Vyhotovenie schodišťových a strešných konštrukcií:</w:t>
            </w:r>
          </w:p>
          <w:p w14:paraId="22C80B8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BOZ pri zhotovovaní </w:t>
            </w:r>
            <w:r w:rsidRPr="00536CAE">
              <w:rPr>
                <w:rFonts w:ascii="Roboto Light" w:hAnsi="Roboto Light" w:cstheme="minorHAnsi"/>
                <w:bCs/>
                <w:sz w:val="18"/>
                <w:szCs w:val="18"/>
              </w:rPr>
              <w:t xml:space="preserve"> </w:t>
            </w: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schodišťových a</w:t>
            </w:r>
            <w:r w:rsidRPr="00536CAE">
              <w:rPr>
                <w:rFonts w:ascii="Roboto Light" w:hAnsi="Roboto Light" w:cstheme="minorHAnsi"/>
                <w:bCs/>
                <w:sz w:val="18"/>
                <w:szCs w:val="18"/>
              </w:rPr>
              <w:t xml:space="preserve"> </w:t>
            </w: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strešných konštrukcií </w:t>
            </w:r>
          </w:p>
          <w:p w14:paraId="6F6F487B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Vyhotovenie schodišťových konštrukcií</w:t>
            </w:r>
          </w:p>
          <w:p w14:paraId="1B3C7BFD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Prípravné práce pri zhotovení jednotlivých druhov schodišťových konštrukcií </w:t>
            </w:r>
          </w:p>
          <w:p w14:paraId="7A6D6290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Zhotovenie a osadzovanie schodišťových konštrukcií  železobetónových, drevených, kovových </w:t>
            </w:r>
          </w:p>
          <w:p w14:paraId="516B1D5B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Dokončovacie práce pri vyhotovení a osadzovaní schodíšť </w:t>
            </w:r>
          </w:p>
          <w:p w14:paraId="15520D65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Vyhotovenie strešných konštrukcií – šikmá a plochá strecha </w:t>
            </w:r>
          </w:p>
          <w:p w14:paraId="07D88D4C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Prípravné práce pri zhotovovaní strešných konštrukcií. </w:t>
            </w:r>
          </w:p>
          <w:p w14:paraId="19B15987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 xml:space="preserve">Zhotovenie a montáž nosnej strešnej konštrukcie </w:t>
            </w:r>
          </w:p>
          <w:p w14:paraId="43C45D5E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Zhotovovanie izolácie a strešného plášťa</w:t>
            </w:r>
          </w:p>
          <w:p w14:paraId="5F3ECA5F" w14:textId="77777777" w:rsidR="008D5A81" w:rsidRPr="00536CAE" w:rsidRDefault="008D5A81" w:rsidP="00536CA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  <w:lang w:eastAsia="sk-SK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Dokončovacie práce na strešnej konštrukcií.</w:t>
            </w:r>
          </w:p>
          <w:p w14:paraId="06E67595" w14:textId="77777777" w:rsidR="008D5A81" w:rsidRPr="00536CAE" w:rsidRDefault="008D5A81" w:rsidP="00536CAE">
            <w:pPr>
              <w:pStyle w:val="Bezriadkovania"/>
              <w:spacing w:line="276" w:lineRule="auto"/>
              <w:rPr>
                <w:rFonts w:ascii="Roboto Light" w:hAnsi="Roboto Light" w:cstheme="minorHAnsi"/>
                <w:b/>
                <w:bCs/>
                <w:caps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Súborná práca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8B27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  <w:t>Montáž prefabrikovaných prvkov:</w:t>
            </w:r>
          </w:p>
          <w:p w14:paraId="049C2F96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BOZ pri montáži a osadzovaní prefabrikátov</w:t>
            </w:r>
          </w:p>
          <w:p w14:paraId="76DA4DD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Obsluha montážnych prostriedkov, meračské práce pri montáži, príprava montážnych pomôcok a prípravkov</w:t>
            </w:r>
          </w:p>
          <w:p w14:paraId="2FE9A586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Montovanie a osadenie prefabrikátov na panelových objektoch</w:t>
            </w:r>
          </w:p>
          <w:p w14:paraId="317FCCF0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Montovanie a osadenie prefabrikátov na skeletových objektoch</w:t>
            </w:r>
          </w:p>
          <w:p w14:paraId="0EE5E310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Spájanie dielcov, úprava stykov a dokončovacie práce pri montáži dielcov</w:t>
            </w:r>
          </w:p>
          <w:p w14:paraId="2444A86B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  <w:r w:rsidRPr="00536CA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Súborná práca</w:t>
            </w:r>
          </w:p>
          <w:p w14:paraId="78FDCEE9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</w:p>
          <w:p w14:paraId="3BF7A9C5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color w:val="000000"/>
                <w:sz w:val="18"/>
                <w:szCs w:val="18"/>
              </w:rPr>
            </w:pPr>
          </w:p>
          <w:p w14:paraId="2738BE6A" w14:textId="77777777" w:rsidR="008D5A81" w:rsidRPr="00536CAE" w:rsidRDefault="008D5A81" w:rsidP="00536CA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</w:tbl>
    <w:p w14:paraId="25FE7347" w14:textId="77777777" w:rsidR="008D5A81" w:rsidRDefault="008D5A81" w:rsidP="008D5A81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</w:rPr>
      </w:pPr>
    </w:p>
    <w:p w14:paraId="2D994169" w14:textId="77777777" w:rsidR="008D5A81" w:rsidRPr="00FF1BF6" w:rsidRDefault="008D5A81" w:rsidP="00734406">
      <w:pPr>
        <w:pStyle w:val="RZTelo"/>
        <w:numPr>
          <w:ilvl w:val="0"/>
          <w:numId w:val="22"/>
        </w:numPr>
      </w:pPr>
      <w:r w:rsidRPr="00FF1BF6">
        <w:t xml:space="preserve">Odporúčané trvanie etáp vzdelávania a ich časovú postupnosť možno zmeniť, pokiaľ </w:t>
      </w:r>
      <w:r w:rsidRPr="00FF1BF6">
        <w:br/>
        <w:t>to neovplyvní čiastkové ciele a celkový cieľ vzdelávania.</w:t>
      </w:r>
    </w:p>
    <w:p w14:paraId="6B6F3215" w14:textId="77777777" w:rsidR="008D5A81" w:rsidRPr="00FF1BF6" w:rsidRDefault="008D5A81" w:rsidP="00734406">
      <w:pPr>
        <w:pStyle w:val="RZTelo"/>
        <w:numPr>
          <w:ilvl w:val="0"/>
          <w:numId w:val="22"/>
        </w:numPr>
      </w:pPr>
      <w:r w:rsidRPr="00FF1BF6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práce, mala by sa zohľadniť skutočnosť, že podnikové a mimo podnikové opatrenia na sprostredkovanie zručností a vedomostí sa časovo navzájom ovplyvňujú a na seba nadväzujú.</w:t>
      </w:r>
    </w:p>
    <w:p w14:paraId="23E140C6" w14:textId="77777777" w:rsidR="008D5A81" w:rsidRPr="00FF1BF6" w:rsidRDefault="008D5A81" w:rsidP="00734406">
      <w:pPr>
        <w:pStyle w:val="RZTelo"/>
        <w:numPr>
          <w:ilvl w:val="0"/>
          <w:numId w:val="22"/>
        </w:numPr>
      </w:pPr>
      <w:r w:rsidRPr="00FF1BF6">
        <w:t xml:space="preserve">Počas praktického vyučovania a pri sprostredkovávaní odborných vedomostí a zručností </w:t>
      </w:r>
      <w:r w:rsidRPr="00FF1BF6">
        <w:br/>
        <w:t xml:space="preserve">je potrebné pri súčasnom zohľadňovaní požiadaviek a predpisov zamestnávateľa zamerať </w:t>
      </w:r>
      <w:r w:rsidRPr="00FF1BF6">
        <w:br/>
        <w:t xml:space="preserve">sa na osobnostný rozvoj žiaka, aby mu boli sprostredkované kľúčové kompetencie, potrebné </w:t>
      </w:r>
      <w:r w:rsidRPr="00FF1BF6">
        <w:br/>
        <w:t>pre odbornú pracovnú silu, ako sú napr.:</w:t>
      </w:r>
    </w:p>
    <w:p w14:paraId="137EAA33" w14:textId="77777777" w:rsidR="008D5A81" w:rsidRPr="00FF1BF6" w:rsidRDefault="008D5A81" w:rsidP="00734406">
      <w:pPr>
        <w:pStyle w:val="RZTelo"/>
        <w:numPr>
          <w:ilvl w:val="0"/>
          <w:numId w:val="23"/>
        </w:numPr>
      </w:pPr>
      <w:r w:rsidRPr="00FF1BF6">
        <w:t xml:space="preserve">spôsobilosť konať samostatne v spoločenskom a pracovnom živote, </w:t>
      </w:r>
    </w:p>
    <w:p w14:paraId="7D5417D4" w14:textId="77777777" w:rsidR="008D5A81" w:rsidRPr="00FF1BF6" w:rsidRDefault="008D5A81" w:rsidP="00734406">
      <w:pPr>
        <w:pStyle w:val="RZTelo"/>
        <w:numPr>
          <w:ilvl w:val="0"/>
          <w:numId w:val="23"/>
        </w:numPr>
      </w:pPr>
      <w:r w:rsidRPr="00FF1BF6">
        <w:t xml:space="preserve">spôsobilosť interaktívne používať vedomosti, informačné a komunikačné technológie, </w:t>
      </w:r>
    </w:p>
    <w:p w14:paraId="1E230DCA" w14:textId="77777777" w:rsidR="008D5A81" w:rsidRPr="00FF1BF6" w:rsidRDefault="008D5A81" w:rsidP="00734406">
      <w:pPr>
        <w:pStyle w:val="RZTelo"/>
        <w:numPr>
          <w:ilvl w:val="0"/>
          <w:numId w:val="23"/>
        </w:numPr>
      </w:pPr>
      <w:r w:rsidRPr="00FF1BF6">
        <w:t xml:space="preserve">schopnosť pracovať v rôznorodých skupinách. </w:t>
      </w:r>
    </w:p>
    <w:p w14:paraId="41D4B5E8" w14:textId="65917166" w:rsidR="008D5A81" w:rsidRPr="00FF1BF6" w:rsidRDefault="008D5A81" w:rsidP="00734406">
      <w:pPr>
        <w:pStyle w:val="RZTelo"/>
        <w:numPr>
          <w:ilvl w:val="0"/>
          <w:numId w:val="22"/>
        </w:numPr>
      </w:pPr>
      <w:r w:rsidRPr="00FF1BF6">
        <w:lastRenderedPageBreak/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18534F9D" w14:textId="77777777" w:rsidR="008D5A81" w:rsidRPr="00FF1BF6" w:rsidRDefault="008D5A81" w:rsidP="00734406">
      <w:pPr>
        <w:pStyle w:val="RZTelo"/>
        <w:numPr>
          <w:ilvl w:val="0"/>
          <w:numId w:val="22"/>
        </w:numPr>
      </w:pPr>
      <w:r w:rsidRPr="00FF1BF6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7F4090AD" w14:textId="1056C394" w:rsidR="008D5A81" w:rsidRPr="00536CAE" w:rsidRDefault="008D5A81" w:rsidP="009F7649">
      <w:pPr>
        <w:pStyle w:val="Nadpis2"/>
        <w:numPr>
          <w:ilvl w:val="0"/>
          <w:numId w:val="1"/>
        </w:numPr>
        <w:spacing w:before="240" w:after="240" w:line="276" w:lineRule="auto"/>
        <w:ind w:left="714" w:hanging="357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536CAE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43C3A913" w14:textId="745BEB5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Praktick</w:t>
      </w:r>
      <w:r w:rsidR="00634F74">
        <w:t xml:space="preserve">ou časťou odbornej zložky maturitnej skúšky </w:t>
      </w:r>
      <w:r w:rsidRPr="00FF1BF6">
        <w:t>sa overujú zručnosti a schopnosti žiaka v zadanej téme formou spracovania cvičnej alebo podnikovej úlohy.</w:t>
      </w:r>
    </w:p>
    <w:p w14:paraId="443A054F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Praktická časť odbornej zložky maturitnej skúšky sa koná vo forme skúšobnej úlohy komplexného charakteru ako „cvičná úloha“ alebo „podniková úloha“.</w:t>
      </w:r>
    </w:p>
    <w:p w14:paraId="00EA8583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Parametre praktickej časti odbornej zložky maturitnej skúšky:</w:t>
      </w:r>
    </w:p>
    <w:p w14:paraId="4010B5F3" w14:textId="513B1164" w:rsidR="008D5A81" w:rsidRPr="00FF1BF6" w:rsidRDefault="008D5A81" w:rsidP="00734406">
      <w:pPr>
        <w:pStyle w:val="RZTelo"/>
        <w:numPr>
          <w:ilvl w:val="0"/>
          <w:numId w:val="25"/>
        </w:numPr>
      </w:pPr>
      <w:r w:rsidRPr="00FF1BF6">
        <w:t>Na praktickú časť odbornej zložky maturitnej skúšky formou skúšobnej úlohy sa určia témy podľa náročnosti a špecifík odboru vzdelávania. Určí sa 1 až 1</w:t>
      </w:r>
      <w:r w:rsidR="00A861D3">
        <w:t>5</w:t>
      </w:r>
      <w:r w:rsidRPr="00FF1BF6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9F7649">
        <w:t>Republikovej únie zamestnávateľov</w:t>
      </w:r>
      <w:r w:rsidRPr="00FF1BF6">
        <w:t>.</w:t>
      </w:r>
    </w:p>
    <w:p w14:paraId="5C21106E" w14:textId="7416B773" w:rsidR="008D5A81" w:rsidRPr="00FF1BF6" w:rsidRDefault="008D5A81" w:rsidP="00734406">
      <w:pPr>
        <w:pStyle w:val="RZTelo"/>
        <w:numPr>
          <w:ilvl w:val="0"/>
          <w:numId w:val="25"/>
        </w:numPr>
      </w:pPr>
      <w:r w:rsidRPr="00FF1BF6">
        <w:t xml:space="preserve">Praktická časť odbornej zložky maturitnej skúšky formou skúšobnej úlohy vrátane odborného rozhovoru trvá 12 hodín, </w:t>
      </w:r>
      <w:r w:rsidR="009F7649">
        <w:t xml:space="preserve">v jeden vyučovací deň najviac 8 hodín, </w:t>
      </w:r>
      <w:r w:rsidRPr="00FF1BF6">
        <w:t>pričom do celkovej dĺžky sa započítava aj prestávka v rozsahu do 30 minút.</w:t>
      </w:r>
    </w:p>
    <w:p w14:paraId="7B803981" w14:textId="23D88B49" w:rsidR="008D5A81" w:rsidRPr="00FF1BF6" w:rsidRDefault="008D5A81" w:rsidP="00734406">
      <w:pPr>
        <w:pStyle w:val="RZTelo"/>
        <w:numPr>
          <w:ilvl w:val="0"/>
          <w:numId w:val="25"/>
        </w:numPr>
        <w:rPr>
          <w:color w:val="FF0000"/>
        </w:rPr>
      </w:pPr>
      <w:r w:rsidRPr="00FF1BF6">
        <w:t>Pri konaní praktickej časti odbornej zložky maturitnej skúšky sa za jednu hodinu maturitnej skúšky považuje čas 60 minút.</w:t>
      </w:r>
    </w:p>
    <w:p w14:paraId="68A45D26" w14:textId="7D10D595" w:rsidR="008D5A81" w:rsidRDefault="008D5A81" w:rsidP="00734406">
      <w:pPr>
        <w:pStyle w:val="RZTelo"/>
        <w:numPr>
          <w:ilvl w:val="0"/>
          <w:numId w:val="25"/>
        </w:numPr>
      </w:pPr>
      <w:r w:rsidRPr="00FF1BF6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09DEC033" w14:textId="0EEF83A7" w:rsidR="009F7649" w:rsidRPr="00FF1BF6" w:rsidRDefault="009F7649" w:rsidP="009F7649">
      <w:pPr>
        <w:pStyle w:val="RZTelo"/>
        <w:numPr>
          <w:ilvl w:val="0"/>
          <w:numId w:val="25"/>
        </w:numPr>
      </w:pPr>
      <w:r>
        <w:t>Praktická časť odbornej zložky maturitnej skúšky je neverejná.</w:t>
      </w:r>
    </w:p>
    <w:p w14:paraId="049665CF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Žiak v praktickej časti maturitnej skúšky formou skúšobnej úlohy preukazuje, že je spôsobilý:</w:t>
      </w:r>
    </w:p>
    <w:p w14:paraId="18CC5D77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t>pracovnú úlohu analyzovať, zaobstarať si informácie, vyhodnotiť a vybrať postup spracovania úloh z technologického, hospodárneho, bezpečnostného a ekologického pohľadu,</w:t>
      </w:r>
    </w:p>
    <w:p w14:paraId="732A5899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t xml:space="preserve">naplánovať fázy realizácie úlohy, určiť čiastkové úlohy, zostaviť podklady k plánovaniu spracovania úlohy, </w:t>
      </w:r>
    </w:p>
    <w:p w14:paraId="3A95D287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t>zohľadniť danosti zariadení a miesta realizácie úloh,</w:t>
      </w:r>
    </w:p>
    <w:p w14:paraId="20BA6315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t xml:space="preserve">zdokumentovať a otestovať funkčnosť a bezpečnosť produktu, </w:t>
      </w:r>
    </w:p>
    <w:p w14:paraId="2977CE88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t>dodržiavať technické a iné normy a štandardy kvality a bezpečnosti systému ako aj systematicky vyhľadávať chyby v procesoch a tieto odstraňovať,</w:t>
      </w:r>
    </w:p>
    <w:p w14:paraId="743B1032" w14:textId="77777777" w:rsidR="008D5A81" w:rsidRPr="00FF1BF6" w:rsidRDefault="008D5A81" w:rsidP="00734406">
      <w:pPr>
        <w:pStyle w:val="RZTelo"/>
        <w:numPr>
          <w:ilvl w:val="0"/>
          <w:numId w:val="26"/>
        </w:numPr>
      </w:pPr>
      <w:r w:rsidRPr="00FF1BF6">
        <w:lastRenderedPageBreak/>
        <w:t xml:space="preserve">odovzdať výsledok práce, poskytnúť odborné informácie, zostaviť preberací protokol, zhodnotiť a zdokumentovať výsledky práce. </w:t>
      </w:r>
    </w:p>
    <w:p w14:paraId="18E9315F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Skúšobná úloha sa má rozložiť na pracovné úlohy vrátane pracovného plánu, bezpečnostných opatrení a na ochranu bezpečnosti a zdravia pri práci, na opatrenia na ochranu životného prostredia a na kontrolu a riadenie kvality. Príklady okruhov jednotlivých úloh, ktoré musí praktická časť skúšky zahŕňať:</w:t>
      </w:r>
    </w:p>
    <w:p w14:paraId="4517CFDF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 xml:space="preserve">príprava materiálu, </w:t>
      </w:r>
    </w:p>
    <w:p w14:paraId="3D8E66FE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>príprava pracovného náradia,</w:t>
      </w:r>
    </w:p>
    <w:p w14:paraId="1B11F4F8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>príprava pokladu, rozmeranie,</w:t>
      </w:r>
    </w:p>
    <w:p w14:paraId="1AEF87A4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>realizácia prác,</w:t>
      </w:r>
    </w:p>
    <w:p w14:paraId="7233653C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 xml:space="preserve">riadenie a kontrola kvality, </w:t>
      </w:r>
    </w:p>
    <w:p w14:paraId="38BF93A7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 xml:space="preserve">ukončenie pracovného procesu, </w:t>
      </w:r>
    </w:p>
    <w:p w14:paraId="28903407" w14:textId="77777777" w:rsidR="008D5A81" w:rsidRPr="00FF1BF6" w:rsidRDefault="008D5A81" w:rsidP="00734406">
      <w:pPr>
        <w:pStyle w:val="RZTelo"/>
        <w:numPr>
          <w:ilvl w:val="0"/>
          <w:numId w:val="27"/>
        </w:numPr>
        <w:rPr>
          <w:bCs/>
        </w:rPr>
      </w:pPr>
      <w:r w:rsidRPr="00FF1BF6">
        <w:rPr>
          <w:bCs/>
        </w:rPr>
        <w:t>iné.</w:t>
      </w:r>
    </w:p>
    <w:p w14:paraId="3F28B986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 xml:space="preserve"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 </w:t>
      </w:r>
    </w:p>
    <w:p w14:paraId="18622060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V rámci skúšobnej úlohy musia byť preukázané predovšetkým vykonané činnosti:</w:t>
      </w:r>
    </w:p>
    <w:p w14:paraId="0780BC6C" w14:textId="77777777" w:rsidR="008D5A81" w:rsidRPr="00FF1BF6" w:rsidRDefault="008D5A81" w:rsidP="002775F3">
      <w:pPr>
        <w:pStyle w:val="RZTelo"/>
        <w:ind w:left="720"/>
      </w:pPr>
      <w:r w:rsidRPr="00FF1BF6">
        <w:t>Skúšobná práca sa má rozložiť na pracovné úlohy v oblasti daného odboru vrátane pracovného plánu, bezpečnostných opatrení a na ochranu bezpečnosti a zdravia pri práci, na opatrenia na ochranu životného prostredia a na kontrolu a riadenie kvality. Okruhy jednotlivých úloh, ktoré musí praktická časť skúšky zahŕňať:</w:t>
      </w:r>
    </w:p>
    <w:p w14:paraId="70C941E4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analýza skúšobnej práce,</w:t>
      </w:r>
    </w:p>
    <w:p w14:paraId="73F1ACAE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 xml:space="preserve">návrh postupnosti jednotlivých pracovných úkonov, </w:t>
      </w:r>
    </w:p>
    <w:p w14:paraId="197A7BEF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príprava materiálu a podkladov,</w:t>
      </w:r>
    </w:p>
    <w:p w14:paraId="0AF148E2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príprava strojových a zariadení,</w:t>
      </w:r>
    </w:p>
    <w:p w14:paraId="6585BD66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produkcia,</w:t>
      </w:r>
    </w:p>
    <w:p w14:paraId="56BFCDD7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riadenie a kontrola kvality,</w:t>
      </w:r>
    </w:p>
    <w:p w14:paraId="17489E81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ukončenie pracovného procesu,</w:t>
      </w:r>
    </w:p>
    <w:p w14:paraId="57F575D5" w14:textId="77777777" w:rsidR="008D5A81" w:rsidRPr="00FF1BF6" w:rsidRDefault="008D5A81" w:rsidP="00734406">
      <w:pPr>
        <w:pStyle w:val="RZTelo"/>
        <w:numPr>
          <w:ilvl w:val="0"/>
          <w:numId w:val="28"/>
        </w:numPr>
      </w:pPr>
      <w:r w:rsidRPr="00FF1BF6">
        <w:t>iné.</w:t>
      </w:r>
    </w:p>
    <w:p w14:paraId="7EB64457" w14:textId="77777777" w:rsidR="008D5A81" w:rsidRPr="00FF1BF6" w:rsidRDefault="008D5A81" w:rsidP="00734406">
      <w:pPr>
        <w:pStyle w:val="RZTelo"/>
        <w:numPr>
          <w:ilvl w:val="0"/>
          <w:numId w:val="24"/>
        </w:numPr>
      </w:pPr>
      <w:r w:rsidRPr="00FF1BF6">
        <w:t>Hodnotenie praktickej časti skúšky sa rozdeľuje na 3 časti:</w:t>
      </w:r>
    </w:p>
    <w:p w14:paraId="3168C740" w14:textId="77777777" w:rsidR="008D5A81" w:rsidRPr="00FF1BF6" w:rsidRDefault="008D5A81" w:rsidP="00734406">
      <w:pPr>
        <w:pStyle w:val="RZTelo"/>
        <w:numPr>
          <w:ilvl w:val="0"/>
          <w:numId w:val="29"/>
        </w:numPr>
      </w:pPr>
      <w:r w:rsidRPr="00FF1BF6">
        <w:t>príprava a plánovanie – 20% (0 - 20 bodov)</w:t>
      </w:r>
    </w:p>
    <w:p w14:paraId="1BB0AFA7" w14:textId="77777777" w:rsidR="008D5A81" w:rsidRPr="00FF1BF6" w:rsidRDefault="008D5A81" w:rsidP="00734406">
      <w:pPr>
        <w:pStyle w:val="RZTelo"/>
        <w:numPr>
          <w:ilvl w:val="0"/>
          <w:numId w:val="29"/>
        </w:numPr>
      </w:pPr>
      <w:r w:rsidRPr="00FF1BF6">
        <w:t>realizácia pracovnej činnosti – 60% (0 - 60 bodov)</w:t>
      </w:r>
    </w:p>
    <w:p w14:paraId="644F657E" w14:textId="77777777" w:rsidR="008D5A81" w:rsidRPr="00FF1BF6" w:rsidRDefault="008D5A81" w:rsidP="00734406">
      <w:pPr>
        <w:pStyle w:val="RZTelo"/>
        <w:numPr>
          <w:ilvl w:val="0"/>
          <w:numId w:val="29"/>
        </w:numPr>
      </w:pPr>
      <w:r w:rsidRPr="00FF1BF6">
        <w:t>riadenie kvality, dodržiavanie BOZP – 20 % (0 - 20 bodov)</w:t>
      </w:r>
    </w:p>
    <w:sectPr w:rsidR="008D5A81" w:rsidRPr="00FF1BF6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59FF" w14:textId="77777777" w:rsidR="00855348" w:rsidRDefault="00855348" w:rsidP="00F81956">
      <w:pPr>
        <w:spacing w:after="0" w:line="240" w:lineRule="auto"/>
      </w:pPr>
      <w:r>
        <w:separator/>
      </w:r>
    </w:p>
  </w:endnote>
  <w:endnote w:type="continuationSeparator" w:id="0">
    <w:p w14:paraId="6367C7E3" w14:textId="77777777" w:rsidR="00855348" w:rsidRDefault="00855348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1031" w14:textId="77777777" w:rsidR="00855348" w:rsidRDefault="00855348" w:rsidP="00F81956">
      <w:pPr>
        <w:spacing w:after="0" w:line="240" w:lineRule="auto"/>
      </w:pPr>
      <w:r>
        <w:separator/>
      </w:r>
    </w:p>
  </w:footnote>
  <w:footnote w:type="continuationSeparator" w:id="0">
    <w:p w14:paraId="05EA7154" w14:textId="77777777" w:rsidR="00855348" w:rsidRDefault="00855348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9F7649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E20B2"/>
    <w:multiLevelType w:val="hybridMultilevel"/>
    <w:tmpl w:val="E448212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13C31"/>
    <w:multiLevelType w:val="hybridMultilevel"/>
    <w:tmpl w:val="AE6E422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13D62"/>
    <w:multiLevelType w:val="hybridMultilevel"/>
    <w:tmpl w:val="998AF01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77667F"/>
    <w:multiLevelType w:val="hybridMultilevel"/>
    <w:tmpl w:val="BDBA1456"/>
    <w:lvl w:ilvl="0" w:tplc="0BEA6A44">
      <w:start w:val="3"/>
      <w:numFmt w:val="bullet"/>
      <w:lvlText w:val="-"/>
      <w:lvlJc w:val="left"/>
      <w:pPr>
        <w:ind w:left="1333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1" w15:restartNumberingAfterBreak="0">
    <w:nsid w:val="3BDA4F63"/>
    <w:multiLevelType w:val="hybridMultilevel"/>
    <w:tmpl w:val="8B641BD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AB6C54"/>
    <w:multiLevelType w:val="hybridMultilevel"/>
    <w:tmpl w:val="A2D43CE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721C92"/>
    <w:multiLevelType w:val="hybridMultilevel"/>
    <w:tmpl w:val="7B44530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48727763"/>
    <w:multiLevelType w:val="hybridMultilevel"/>
    <w:tmpl w:val="A9C0BAA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B4E68A1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8181F"/>
    <w:multiLevelType w:val="hybridMultilevel"/>
    <w:tmpl w:val="9DEE377A"/>
    <w:lvl w:ilvl="0" w:tplc="A95805CA">
      <w:start w:val="1"/>
      <w:numFmt w:val="decimal"/>
      <w:lvlText w:val="(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775739F"/>
    <w:multiLevelType w:val="hybridMultilevel"/>
    <w:tmpl w:val="C6C64F2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8D5513"/>
    <w:multiLevelType w:val="hybridMultilevel"/>
    <w:tmpl w:val="E20C6BD4"/>
    <w:lvl w:ilvl="0" w:tplc="041B000F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575" w:hanging="360"/>
      </w:pPr>
    </w:lvl>
    <w:lvl w:ilvl="2" w:tplc="041B001B">
      <w:start w:val="1"/>
      <w:numFmt w:val="lowerRoman"/>
      <w:lvlText w:val="%3."/>
      <w:lvlJc w:val="right"/>
      <w:pPr>
        <w:ind w:left="3295" w:hanging="180"/>
      </w:pPr>
    </w:lvl>
    <w:lvl w:ilvl="3" w:tplc="041B000F">
      <w:start w:val="1"/>
      <w:numFmt w:val="decimal"/>
      <w:lvlText w:val="%4."/>
      <w:lvlJc w:val="left"/>
      <w:pPr>
        <w:ind w:left="4015" w:hanging="360"/>
      </w:pPr>
    </w:lvl>
    <w:lvl w:ilvl="4" w:tplc="041B0019">
      <w:start w:val="1"/>
      <w:numFmt w:val="lowerLetter"/>
      <w:lvlText w:val="%5."/>
      <w:lvlJc w:val="left"/>
      <w:pPr>
        <w:ind w:left="4735" w:hanging="360"/>
      </w:pPr>
    </w:lvl>
    <w:lvl w:ilvl="5" w:tplc="041B001B">
      <w:start w:val="1"/>
      <w:numFmt w:val="lowerRoman"/>
      <w:lvlText w:val="%6."/>
      <w:lvlJc w:val="right"/>
      <w:pPr>
        <w:ind w:left="5455" w:hanging="180"/>
      </w:pPr>
    </w:lvl>
    <w:lvl w:ilvl="6" w:tplc="041B000F">
      <w:start w:val="1"/>
      <w:numFmt w:val="decimal"/>
      <w:lvlText w:val="%7."/>
      <w:lvlJc w:val="left"/>
      <w:pPr>
        <w:ind w:left="6175" w:hanging="360"/>
      </w:pPr>
    </w:lvl>
    <w:lvl w:ilvl="7" w:tplc="041B0019">
      <w:start w:val="1"/>
      <w:numFmt w:val="lowerLetter"/>
      <w:lvlText w:val="%8."/>
      <w:lvlJc w:val="left"/>
      <w:pPr>
        <w:ind w:left="6895" w:hanging="360"/>
      </w:pPr>
    </w:lvl>
    <w:lvl w:ilvl="8" w:tplc="041B001B">
      <w:start w:val="1"/>
      <w:numFmt w:val="lowerRoman"/>
      <w:lvlText w:val="%9."/>
      <w:lvlJc w:val="right"/>
      <w:pPr>
        <w:ind w:left="7615" w:hanging="180"/>
      </w:pPr>
    </w:lvl>
  </w:abstractNum>
  <w:abstractNum w:abstractNumId="19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15E9F"/>
    <w:multiLevelType w:val="hybridMultilevel"/>
    <w:tmpl w:val="EEB67BD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03ADA"/>
    <w:multiLevelType w:val="hybridMultilevel"/>
    <w:tmpl w:val="AD3091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87967"/>
    <w:multiLevelType w:val="hybridMultilevel"/>
    <w:tmpl w:val="8458C0B6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7941">
    <w:abstractNumId w:val="24"/>
  </w:num>
  <w:num w:numId="2" w16cid:durableId="176578362">
    <w:abstractNumId w:val="0"/>
  </w:num>
  <w:num w:numId="3" w16cid:durableId="872496343">
    <w:abstractNumId w:val="9"/>
  </w:num>
  <w:num w:numId="4" w16cid:durableId="7845524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54813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755061">
    <w:abstractNumId w:val="14"/>
  </w:num>
  <w:num w:numId="7" w16cid:durableId="402139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06246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2914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72340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2215789">
    <w:abstractNumId w:val="6"/>
  </w:num>
  <w:num w:numId="12" w16cid:durableId="18891020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5420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7713571">
    <w:abstractNumId w:val="15"/>
  </w:num>
  <w:num w:numId="15" w16cid:durableId="17863418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875373">
    <w:abstractNumId w:val="10"/>
  </w:num>
  <w:num w:numId="17" w16cid:durableId="1792478986">
    <w:abstractNumId w:val="19"/>
  </w:num>
  <w:num w:numId="18" w16cid:durableId="875851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61890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5232855">
    <w:abstractNumId w:val="4"/>
  </w:num>
  <w:num w:numId="21" w16cid:durableId="184250138">
    <w:abstractNumId w:val="1"/>
  </w:num>
  <w:num w:numId="22" w16cid:durableId="1870754263">
    <w:abstractNumId w:val="7"/>
  </w:num>
  <w:num w:numId="23" w16cid:durableId="1493788984">
    <w:abstractNumId w:val="11"/>
  </w:num>
  <w:num w:numId="24" w16cid:durableId="1498499066">
    <w:abstractNumId w:val="3"/>
  </w:num>
  <w:num w:numId="25" w16cid:durableId="1956519646">
    <w:abstractNumId w:val="25"/>
  </w:num>
  <w:num w:numId="26" w16cid:durableId="460225999">
    <w:abstractNumId w:val="12"/>
  </w:num>
  <w:num w:numId="27" w16cid:durableId="241766562">
    <w:abstractNumId w:val="8"/>
  </w:num>
  <w:num w:numId="28" w16cid:durableId="1466001060">
    <w:abstractNumId w:val="20"/>
  </w:num>
  <w:num w:numId="29" w16cid:durableId="1544751850">
    <w:abstractNumId w:val="17"/>
  </w:num>
  <w:num w:numId="30" w16cid:durableId="1158962783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608C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775F3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930BF"/>
    <w:rsid w:val="004C47BD"/>
    <w:rsid w:val="004D6B21"/>
    <w:rsid w:val="004E31E8"/>
    <w:rsid w:val="004E4261"/>
    <w:rsid w:val="00523FFE"/>
    <w:rsid w:val="005355E8"/>
    <w:rsid w:val="00536CAE"/>
    <w:rsid w:val="005832E5"/>
    <w:rsid w:val="00591659"/>
    <w:rsid w:val="005A1F36"/>
    <w:rsid w:val="005A4A22"/>
    <w:rsid w:val="005B534C"/>
    <w:rsid w:val="005D13C8"/>
    <w:rsid w:val="005D5519"/>
    <w:rsid w:val="005E275B"/>
    <w:rsid w:val="005E3771"/>
    <w:rsid w:val="00615942"/>
    <w:rsid w:val="00617A71"/>
    <w:rsid w:val="00624FA8"/>
    <w:rsid w:val="00634F74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34406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55348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D5A81"/>
    <w:rsid w:val="008E15D9"/>
    <w:rsid w:val="008F791E"/>
    <w:rsid w:val="00914051"/>
    <w:rsid w:val="009225D4"/>
    <w:rsid w:val="009232B1"/>
    <w:rsid w:val="00923BC7"/>
    <w:rsid w:val="009364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9F7649"/>
    <w:rsid w:val="00A03139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861D3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121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E55DC"/>
    <w:rsid w:val="00DF2C6D"/>
    <w:rsid w:val="00DF4517"/>
    <w:rsid w:val="00DF72B8"/>
    <w:rsid w:val="00E06887"/>
    <w:rsid w:val="00E35FB2"/>
    <w:rsid w:val="00E50B45"/>
    <w:rsid w:val="00E83FC8"/>
    <w:rsid w:val="00E85780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1BF6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B15D4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2754</Words>
  <Characters>15699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19</cp:revision>
  <cp:lastPrinted>2022-07-15T16:37:00Z</cp:lastPrinted>
  <dcterms:created xsi:type="dcterms:W3CDTF">2022-07-15T16:15:00Z</dcterms:created>
  <dcterms:modified xsi:type="dcterms:W3CDTF">2022-08-25T20:31:00Z</dcterms:modified>
</cp:coreProperties>
</file>